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1" w:name="_GoBack"/>
      <w:bookmarkStart w:id="0" w:name="_Toc24724706"/>
      <w:r>
        <w:rPr>
          <w:rFonts w:hint="eastAsia" w:ascii="方正小标宋_GBK" w:hAnsi="方正小标宋_GBK" w:eastAsia="方正小标宋_GBK"/>
          <w:b w:val="0"/>
          <w:bCs w:val="0"/>
          <w:sz w:val="30"/>
        </w:rPr>
        <w:t>义务教育领域基层政务公开标准目录</w:t>
      </w:r>
      <w:bookmarkEnd w:id="0"/>
    </w:p>
    <w:bookmarkEnd w:id="1"/>
    <w:tbl>
      <w:tblPr>
        <w:tblStyle w:val="3"/>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73"/>
        <w:gridCol w:w="767"/>
        <w:gridCol w:w="2340"/>
        <w:gridCol w:w="2520"/>
        <w:gridCol w:w="1620"/>
        <w:gridCol w:w="1570"/>
        <w:gridCol w:w="1490"/>
        <w:gridCol w:w="540"/>
        <w:gridCol w:w="698"/>
        <w:gridCol w:w="562"/>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570" w:type="dxa"/>
            <w:vMerge w:val="restart"/>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490" w:type="dxa"/>
            <w:vMerge w:val="restart"/>
            <w:noWrap w:val="0"/>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38" w:type="dxa"/>
            <w:gridSpan w:val="2"/>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82" w:type="dxa"/>
            <w:gridSpan w:val="2"/>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widowControl/>
              <w:jc w:val="left"/>
              <w:rPr>
                <w:rFonts w:hint="eastAsia" w:ascii="黑体" w:hAnsi="Times New Roman" w:eastAsia="黑体"/>
                <w:color w:val="000000"/>
                <w:kern w:val="0"/>
                <w:sz w:val="22"/>
              </w:rPr>
            </w:pPr>
          </w:p>
        </w:tc>
        <w:tc>
          <w:tcPr>
            <w:tcW w:w="673"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767"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noWrap w:val="0"/>
            <w:vAlign w:val="center"/>
          </w:tcPr>
          <w:p>
            <w:pPr>
              <w:widowControl/>
              <w:jc w:val="left"/>
              <w:rPr>
                <w:rFonts w:hint="eastAsia" w:ascii="黑体" w:hAnsi="宋体" w:eastAsia="黑体" w:cs="宋体"/>
                <w:color w:val="000000"/>
                <w:kern w:val="0"/>
                <w:sz w:val="22"/>
              </w:rPr>
            </w:pPr>
          </w:p>
        </w:tc>
        <w:tc>
          <w:tcPr>
            <w:tcW w:w="2520" w:type="dxa"/>
            <w:vMerge w:val="continue"/>
            <w:noWrap w:val="0"/>
            <w:vAlign w:val="center"/>
          </w:tcPr>
          <w:p>
            <w:pPr>
              <w:widowControl/>
              <w:jc w:val="left"/>
              <w:rPr>
                <w:rFonts w:hint="eastAsia" w:ascii="黑体" w:hAnsi="宋体" w:eastAsia="黑体" w:cs="宋体"/>
                <w:color w:val="000000"/>
                <w:kern w:val="0"/>
                <w:sz w:val="22"/>
              </w:rPr>
            </w:pPr>
          </w:p>
        </w:tc>
        <w:tc>
          <w:tcPr>
            <w:tcW w:w="1620" w:type="dxa"/>
            <w:vMerge w:val="continue"/>
            <w:noWrap w:val="0"/>
            <w:vAlign w:val="center"/>
          </w:tcPr>
          <w:p>
            <w:pPr>
              <w:widowControl/>
              <w:jc w:val="left"/>
              <w:rPr>
                <w:rFonts w:hint="eastAsia" w:ascii="黑体" w:hAnsi="宋体" w:eastAsia="黑体" w:cs="宋体"/>
                <w:color w:val="000000"/>
                <w:kern w:val="0"/>
                <w:sz w:val="22"/>
              </w:rPr>
            </w:pPr>
          </w:p>
        </w:tc>
        <w:tc>
          <w:tcPr>
            <w:tcW w:w="1570" w:type="dxa"/>
            <w:vMerge w:val="continue"/>
            <w:noWrap w:val="0"/>
            <w:vAlign w:val="center"/>
          </w:tcPr>
          <w:p>
            <w:pPr>
              <w:widowControl/>
              <w:jc w:val="left"/>
              <w:rPr>
                <w:rFonts w:hint="eastAsia" w:ascii="黑体" w:hAnsi="宋体" w:eastAsia="黑体" w:cs="宋体"/>
                <w:color w:val="000000"/>
                <w:kern w:val="0"/>
                <w:sz w:val="22"/>
              </w:rPr>
            </w:pPr>
          </w:p>
        </w:tc>
        <w:tc>
          <w:tcPr>
            <w:tcW w:w="1490" w:type="dxa"/>
            <w:vMerge w:val="continue"/>
            <w:noWrap w:val="0"/>
            <w:vAlign w:val="center"/>
          </w:tcPr>
          <w:p>
            <w:pPr>
              <w:widowControl/>
              <w:jc w:val="left"/>
              <w:rPr>
                <w:rFonts w:hint="eastAsia" w:ascii="黑体" w:hAnsi="宋体" w:eastAsia="黑体" w:cs="宋体"/>
                <w:kern w:val="0"/>
                <w:sz w:val="22"/>
              </w:rPr>
            </w:pPr>
          </w:p>
        </w:tc>
        <w:tc>
          <w:tcPr>
            <w:tcW w:w="540"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98"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62"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教育法律</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《教育法》、《义务教育法》、《民办教育促进法》、《教师法》、《国家通用语言文字法》</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lang w:eastAsia="zh-CN"/>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规范性文件</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部门和地方政府规章、各类教育政策文件</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2</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教育概况</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520" w:type="dxa"/>
            <w:vMerge w:val="restart"/>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《统计法》、《政府信息公开条例》、《教育统计管理规定》</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教育统计数据</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学校数据、在校生数据、教师数据、办学条件数据、县级汇总数据</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义务教育学校名录</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学校名称、学校地址、办学层次、办学类型、办公电话</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8" w:hRule="atLeas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3</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民办学校信息</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民办学校办学基本信息</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学校名称、办学许可证、办学规模、联系方式</w:t>
            </w:r>
          </w:p>
        </w:tc>
        <w:tc>
          <w:tcPr>
            <w:tcW w:w="2520" w:type="dxa"/>
            <w:vMerge w:val="restart"/>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《民办教育促进法》、《政府信息公开条例》、《国务院关于鼓励社会力量兴办教育 促进民办教育健康发展的若干意见》</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民办学校设立、变更、终止等事项行政审批、备案信息</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法律依据、办理流程、审批结果</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日常监管信息</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年检指标、年检程序、年检结果、行政处罚信息</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4</w:t>
            </w:r>
          </w:p>
        </w:tc>
        <w:tc>
          <w:tcPr>
            <w:tcW w:w="673"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767" w:type="dxa"/>
            <w:noWrap/>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2340" w:type="dxa"/>
            <w:noWrap w:val="0"/>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财务管理及监督办法、</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年度经费预决算信息、收费项目及收费标准</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673" w:type="dxa"/>
            <w:vMerge w:val="restart"/>
            <w:noWrap/>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767"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学校介绍</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办学性质、办学地点、办学规模、办学基本条件、联系方式等</w:t>
            </w:r>
          </w:p>
        </w:tc>
        <w:tc>
          <w:tcPr>
            <w:tcW w:w="2520" w:type="dxa"/>
            <w:vMerge w:val="restart"/>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《政府信息公开条例》、《教育部关于进一步做好小学升入初中免试就近入学工作的实施意见》、《教育部关于推进中小学信息公开工作的意见》</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sz w:val="18"/>
                <w:szCs w:val="18"/>
              </w:rPr>
            </w:pPr>
          </w:p>
        </w:tc>
        <w:tc>
          <w:tcPr>
            <w:tcW w:w="767" w:type="dxa"/>
            <w:noWrap/>
            <w:vAlign w:val="center"/>
          </w:tcPr>
          <w:p>
            <w:pPr>
              <w:rPr>
                <w:rFonts w:hint="eastAsia" w:ascii="仿宋_GB2312" w:hAnsi="宋体" w:eastAsia="仿宋_GB2312"/>
                <w:sz w:val="18"/>
                <w:szCs w:val="18"/>
              </w:rPr>
            </w:pPr>
            <w:r>
              <w:rPr>
                <w:rFonts w:hint="eastAsia" w:ascii="仿宋_GB2312" w:hAnsi="宋体" w:eastAsia="仿宋_GB2312"/>
                <w:sz w:val="18"/>
                <w:szCs w:val="18"/>
              </w:rPr>
              <w:t>招生政策</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各校招生工作实施方案；随迁子女入学办法；部分适龄儿童或少年延缓入学、休学等特殊需求的政策解读等</w:t>
            </w:r>
          </w:p>
        </w:tc>
        <w:tc>
          <w:tcPr>
            <w:tcW w:w="2520" w:type="dxa"/>
            <w:vMerge w:val="continue"/>
            <w:noWrap w:val="0"/>
            <w:vAlign w:val="center"/>
          </w:tcPr>
          <w:p>
            <w:pPr>
              <w:rPr>
                <w:rFonts w:hint="eastAsia" w:ascii="仿宋_GB2312" w:hAnsi="宋体" w:eastAsia="仿宋_GB2312" w:cs="宋体"/>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673" w:type="dxa"/>
            <w:vMerge w:val="restart"/>
            <w:noWrap/>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767" w:type="dxa"/>
            <w:noWrap w:val="0"/>
            <w:vAlign w:val="center"/>
          </w:tcPr>
          <w:p>
            <w:pPr>
              <w:rPr>
                <w:rFonts w:hint="eastAsia" w:ascii="仿宋_GB2312" w:hAnsi="宋体" w:eastAsia="仿宋_GB2312"/>
                <w:sz w:val="18"/>
                <w:szCs w:val="18"/>
              </w:rPr>
            </w:pPr>
            <w:r>
              <w:rPr>
                <w:rFonts w:hint="eastAsia" w:ascii="仿宋_GB2312" w:hAnsi="宋体" w:eastAsia="仿宋_GB2312"/>
                <w:sz w:val="18"/>
                <w:szCs w:val="18"/>
              </w:rPr>
              <w:t>招生计划</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各校本年度招生计划</w:t>
            </w:r>
          </w:p>
        </w:tc>
        <w:tc>
          <w:tcPr>
            <w:tcW w:w="2520" w:type="dxa"/>
            <w:vMerge w:val="restart"/>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《政府信息公开条例》、《教育部关于进一步做好小学升入初中免试就近入学工作的实施意见》《教育部关于推进中小学信息公开工作的意见》</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sz w:val="18"/>
                <w:szCs w:val="18"/>
              </w:rPr>
            </w:pPr>
          </w:p>
        </w:tc>
        <w:tc>
          <w:tcPr>
            <w:tcW w:w="767" w:type="dxa"/>
            <w:noWrap/>
            <w:vAlign w:val="center"/>
          </w:tcPr>
          <w:p>
            <w:pPr>
              <w:rPr>
                <w:rFonts w:hint="eastAsia" w:ascii="仿宋_GB2312" w:hAnsi="宋体" w:eastAsia="仿宋_GB2312"/>
                <w:sz w:val="18"/>
                <w:szCs w:val="18"/>
              </w:rPr>
            </w:pPr>
            <w:r>
              <w:rPr>
                <w:rFonts w:hint="eastAsia" w:ascii="仿宋_GB2312" w:hAnsi="宋体" w:eastAsia="仿宋_GB2312"/>
                <w:sz w:val="18"/>
                <w:szCs w:val="18"/>
              </w:rPr>
              <w:t>招生范围</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招生范围、学区划分详细情况</w:t>
            </w:r>
          </w:p>
        </w:tc>
        <w:tc>
          <w:tcPr>
            <w:tcW w:w="2520" w:type="dxa"/>
            <w:vMerge w:val="continue"/>
            <w:noWrap w:val="0"/>
            <w:vAlign w:val="center"/>
          </w:tcPr>
          <w:p>
            <w:pPr>
              <w:rPr>
                <w:rFonts w:hint="eastAsia" w:ascii="仿宋_GB2312" w:hAnsi="宋体" w:eastAsia="仿宋_GB2312" w:cs="宋体"/>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sz w:val="18"/>
                <w:szCs w:val="18"/>
              </w:rPr>
            </w:pPr>
          </w:p>
        </w:tc>
        <w:tc>
          <w:tcPr>
            <w:tcW w:w="767" w:type="dxa"/>
            <w:noWrap w:val="0"/>
            <w:vAlign w:val="center"/>
          </w:tcPr>
          <w:p>
            <w:pPr>
              <w:rPr>
                <w:rFonts w:hint="eastAsia" w:ascii="仿宋_GB2312" w:hAnsi="宋体" w:eastAsia="仿宋_GB2312"/>
                <w:sz w:val="18"/>
                <w:szCs w:val="18"/>
              </w:rPr>
            </w:pPr>
            <w:r>
              <w:rPr>
                <w:rFonts w:hint="eastAsia" w:ascii="仿宋_GB2312" w:hAnsi="宋体" w:eastAsia="仿宋_GB2312"/>
                <w:sz w:val="18"/>
                <w:szCs w:val="18"/>
              </w:rPr>
              <w:t>招生结果</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各校本年度招生结果</w:t>
            </w:r>
          </w:p>
        </w:tc>
        <w:tc>
          <w:tcPr>
            <w:tcW w:w="2520" w:type="dxa"/>
            <w:vMerge w:val="continue"/>
            <w:noWrap w:val="0"/>
            <w:vAlign w:val="center"/>
          </w:tcPr>
          <w:p>
            <w:pPr>
              <w:rPr>
                <w:rFonts w:hint="eastAsia" w:ascii="仿宋_GB2312" w:hAnsi="宋体" w:eastAsia="仿宋_GB2312" w:cs="宋体"/>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6</w:t>
            </w:r>
          </w:p>
        </w:tc>
        <w:tc>
          <w:tcPr>
            <w:tcW w:w="673" w:type="dxa"/>
            <w:vMerge w:val="restart"/>
            <w:noWrap w:val="0"/>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学生管理</w:t>
            </w:r>
          </w:p>
        </w:tc>
        <w:tc>
          <w:tcPr>
            <w:tcW w:w="767" w:type="dxa"/>
            <w:noWrap w:val="0"/>
            <w:vAlign w:val="center"/>
          </w:tcPr>
          <w:p>
            <w:pPr>
              <w:rPr>
                <w:rFonts w:hint="eastAsia" w:ascii="仿宋_GB2312" w:hAnsi="宋体" w:eastAsia="仿宋_GB2312"/>
                <w:sz w:val="18"/>
                <w:szCs w:val="18"/>
              </w:rPr>
            </w:pPr>
            <w:r>
              <w:rPr>
                <w:rFonts w:hint="eastAsia" w:ascii="仿宋_GB2312" w:hAnsi="宋体" w:eastAsia="仿宋_GB2312"/>
                <w:sz w:val="18"/>
                <w:szCs w:val="18"/>
              </w:rPr>
              <w:t>学籍管理</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区域内义务教育阶段学生休学、复学、转学相关政策及所需材料和办理流程；适龄儿童延缓入学所需材料及办理流程；学籍证明、毕（结）业证书遗失办理学历证明确认</w:t>
            </w:r>
          </w:p>
        </w:tc>
        <w:tc>
          <w:tcPr>
            <w:tcW w:w="252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《义务教育法》、《政府信息公开条例》、《中小学生学籍管理办法》</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sz w:val="18"/>
                <w:szCs w:val="18"/>
              </w:rPr>
            </w:pPr>
          </w:p>
        </w:tc>
        <w:tc>
          <w:tcPr>
            <w:tcW w:w="767" w:type="dxa"/>
            <w:noWrap w:val="0"/>
            <w:vAlign w:val="center"/>
          </w:tcPr>
          <w:p>
            <w:pPr>
              <w:rPr>
                <w:rFonts w:hint="eastAsia" w:ascii="仿宋_GB2312" w:hAnsi="宋体" w:eastAsia="仿宋_GB2312"/>
                <w:sz w:val="18"/>
                <w:szCs w:val="18"/>
              </w:rPr>
            </w:pPr>
            <w:r>
              <w:rPr>
                <w:rFonts w:hint="eastAsia" w:ascii="仿宋_GB2312" w:hAnsi="宋体" w:eastAsia="仿宋_GB2312"/>
                <w:sz w:val="18"/>
                <w:szCs w:val="18"/>
              </w:rPr>
              <w:t>义务教育学生资助政策</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统一城乡义务教育“两免一补”政策</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《政府信息公开条例》、《国务院关于进一步完善城乡义务教育经费保障机制的通知》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jc w:val="center"/>
              <w:rPr>
                <w:rFonts w:hint="eastAsia" w:ascii="仿宋_GB2312" w:hAnsi="宋体" w:eastAsia="仿宋_GB2312"/>
                <w:color w:val="000000"/>
                <w:sz w:val="18"/>
                <w:szCs w:val="18"/>
              </w:rPr>
            </w:pPr>
          </w:p>
        </w:tc>
        <w:tc>
          <w:tcPr>
            <w:tcW w:w="673" w:type="dxa"/>
            <w:vMerge w:val="continue"/>
            <w:noWrap w:val="0"/>
            <w:vAlign w:val="center"/>
          </w:tcPr>
          <w:p>
            <w:pPr>
              <w:jc w:val="center"/>
              <w:rPr>
                <w:rFonts w:hint="eastAsia" w:ascii="仿宋_GB2312" w:hAnsi="宋体" w:eastAsia="仿宋_GB2312"/>
                <w:color w:val="000000"/>
                <w:sz w:val="18"/>
                <w:szCs w:val="18"/>
              </w:rPr>
            </w:pPr>
          </w:p>
        </w:tc>
        <w:tc>
          <w:tcPr>
            <w:tcW w:w="767" w:type="dxa"/>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学生评优奖励</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省市县“三好学生”“优秀学生干部”评选标准；评比方法；表彰名单等</w:t>
            </w:r>
          </w:p>
        </w:tc>
        <w:tc>
          <w:tcPr>
            <w:tcW w:w="252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《政府信息公开条例》，当地省市县表彰文件</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8"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62"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7</w:t>
            </w:r>
          </w:p>
        </w:tc>
        <w:tc>
          <w:tcPr>
            <w:tcW w:w="673" w:type="dxa"/>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教师管理</w:t>
            </w:r>
          </w:p>
          <w:p>
            <w:pPr>
              <w:rPr>
                <w:rFonts w:hint="eastAsia" w:ascii="仿宋_GB2312" w:hAnsi="宋体" w:eastAsia="仿宋_GB2312" w:cs="宋体"/>
                <w:color w:val="000000"/>
                <w:sz w:val="18"/>
                <w:szCs w:val="18"/>
              </w:rPr>
            </w:pPr>
          </w:p>
        </w:tc>
        <w:tc>
          <w:tcPr>
            <w:tcW w:w="767" w:type="dxa"/>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教师培训</w:t>
            </w:r>
          </w:p>
        </w:tc>
        <w:tc>
          <w:tcPr>
            <w:tcW w:w="2340" w:type="dxa"/>
            <w:noWrap w:val="0"/>
            <w:vAlign w:val="center"/>
          </w:tcPr>
          <w:p>
            <w:pPr>
              <w:rPr>
                <w:rFonts w:hint="eastAsia" w:ascii="仿宋_GB2312" w:hAnsi="宋体" w:eastAsia="仿宋_GB2312" w:cs="宋体"/>
                <w:strike/>
                <w:dstrike w:val="0"/>
                <w:color w:val="0070C0"/>
                <w:sz w:val="18"/>
                <w:szCs w:val="18"/>
              </w:rPr>
            </w:pPr>
            <w:r>
              <w:rPr>
                <w:rFonts w:hint="eastAsia" w:ascii="仿宋_GB2312" w:hAnsi="宋体" w:eastAsia="仿宋_GB2312"/>
                <w:color w:val="000000"/>
                <w:sz w:val="18"/>
                <w:szCs w:val="18"/>
              </w:rPr>
              <w:t>教师培训政策文件、培训项目组织实施通知</w:t>
            </w:r>
          </w:p>
        </w:tc>
        <w:tc>
          <w:tcPr>
            <w:tcW w:w="2520" w:type="dxa"/>
            <w:noWrap w:val="0"/>
            <w:vAlign w:val="center"/>
          </w:tcPr>
          <w:p>
            <w:pPr>
              <w:rPr>
                <w:rFonts w:hint="eastAsia" w:ascii="仿宋_GB2312" w:hAnsi="宋体" w:eastAsia="仿宋_GB2312" w:cs="宋体"/>
                <w:strike/>
                <w:dstrike w:val="0"/>
                <w:color w:val="0070C0"/>
                <w:sz w:val="18"/>
                <w:szCs w:val="18"/>
              </w:rPr>
            </w:pPr>
            <w:r>
              <w:rPr>
                <w:rFonts w:hint="eastAsia" w:ascii="仿宋_GB2312" w:hAnsi="宋体" w:eastAsia="仿宋_GB2312"/>
                <w:color w:val="000000"/>
                <w:sz w:val="18"/>
                <w:szCs w:val="18"/>
              </w:rPr>
              <w:t>《教育法》、《教师法》、《中小学教师继续教育规定》</w:t>
            </w:r>
          </w:p>
        </w:tc>
        <w:tc>
          <w:tcPr>
            <w:tcW w:w="1620" w:type="dxa"/>
            <w:noWrap w:val="0"/>
            <w:vAlign w:val="center"/>
          </w:tcPr>
          <w:p>
            <w:pP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trike/>
                <w:dstrike w:val="0"/>
                <w:color w:val="0070C0"/>
                <w:sz w:val="18"/>
                <w:szCs w:val="18"/>
              </w:rPr>
            </w:pPr>
            <w:r>
              <w:rPr>
                <w:rFonts w:hint="eastAsia" w:ascii="仿宋_GB2312" w:hAnsi="仿宋" w:eastAsia="仿宋_GB2312" w:cs="宋体"/>
                <w:color w:val="000000"/>
                <w:sz w:val="18"/>
                <w:szCs w:val="18"/>
                <w:lang w:eastAsia="zh-CN"/>
              </w:rPr>
              <w:t>发展软环境保障局</w:t>
            </w:r>
          </w:p>
        </w:tc>
        <w:tc>
          <w:tcPr>
            <w:tcW w:w="1490" w:type="dxa"/>
            <w:noWrap w:val="0"/>
            <w:vAlign w:val="center"/>
          </w:tcPr>
          <w:p>
            <w:pP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strike/>
                <w:dstrike w:val="0"/>
                <w:color w:val="0070C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Times New Roman" w:eastAsia="仿宋_GB2312"/>
                <w:strike/>
                <w:dstrike w:val="0"/>
                <w:color w:val="0070C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73"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教师公开招聘</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教师招聘计划和公告、拟聘用人员名单公示</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《政府信息公开条例》、《事业单位公开招聘人员暂行规定》、《关于进一步规范事业单位公开招聘工作的通知》、《人力资源社会保障部关于事业单位公开招聘岗位条件设置有关问题的通知》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767"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教师</w:t>
            </w:r>
            <w:r>
              <w:rPr>
                <w:rFonts w:hint="eastAsia" w:ascii="仿宋_GB2312" w:hAnsi="宋体" w:eastAsia="仿宋_GB2312" w:cs="宋体"/>
                <w:color w:val="000000"/>
                <w:sz w:val="18"/>
                <w:szCs w:val="18"/>
              </w:rPr>
              <w:br w:type="textWrapping"/>
            </w:r>
            <w:r>
              <w:rPr>
                <w:rFonts w:hint="eastAsia" w:ascii="仿宋_GB2312" w:hAnsi="宋体" w:eastAsia="仿宋_GB2312" w:cs="宋体"/>
                <w:color w:val="000000"/>
                <w:sz w:val="18"/>
                <w:szCs w:val="18"/>
              </w:rPr>
              <w:t>行为</w:t>
            </w:r>
            <w:r>
              <w:rPr>
                <w:rFonts w:hint="eastAsia" w:ascii="仿宋_GB2312" w:hAnsi="宋体" w:eastAsia="仿宋_GB2312" w:cs="宋体"/>
                <w:color w:val="000000"/>
                <w:sz w:val="18"/>
                <w:szCs w:val="18"/>
              </w:rPr>
              <w:br w:type="textWrapping"/>
            </w:r>
            <w:r>
              <w:rPr>
                <w:rFonts w:hint="eastAsia" w:ascii="仿宋_GB2312" w:hAnsi="宋体" w:eastAsia="仿宋_GB2312" w:cs="宋体"/>
                <w:color w:val="000000"/>
                <w:sz w:val="18"/>
                <w:szCs w:val="18"/>
              </w:rPr>
              <w:t>规范</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教师职业行为准则及违规处理办法</w:t>
            </w:r>
          </w:p>
        </w:tc>
        <w:tc>
          <w:tcPr>
            <w:tcW w:w="2520" w:type="dxa"/>
            <w:vMerge w:val="restart"/>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新时代高校教师职业行为十项准则》、《新时代中小学教师职业行为十项准则》、《新时代幼儿园教师职业行为十项准则》、《中小学教师违反职业道德行为处理办法（2018年修订）》、《幼儿园教师违反职业道德行为处理办法》等</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vMerge w:val="continue"/>
            <w:noWrap w:val="0"/>
            <w:vAlign w:val="center"/>
          </w:tcPr>
          <w:p>
            <w:pPr>
              <w:rPr>
                <w:rFonts w:hint="eastAsia" w:ascii="仿宋_GB2312" w:hAnsi="宋体" w:eastAsia="仿宋_GB2312" w:cs="宋体"/>
                <w:color w:val="000000"/>
                <w:sz w:val="18"/>
                <w:szCs w:val="18"/>
              </w:rPr>
            </w:pP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对教师有严重违反教师职业行为准则的行政处罚信息</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767"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教师评优评先</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优秀教师的表彰、奖励等行政奖励信息公示</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《教师法》、《中共中央 国务院关于全面深化新时代教师队伍建设改革的意见》</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vMerge w:val="continue"/>
            <w:noWrap w:val="0"/>
            <w:vAlign w:val="center"/>
          </w:tcPr>
          <w:p>
            <w:pPr>
              <w:rPr>
                <w:rFonts w:hint="eastAsia" w:ascii="仿宋_GB2312" w:hAnsi="宋体" w:eastAsia="仿宋_GB2312" w:cs="宋体"/>
                <w:color w:val="000000"/>
                <w:sz w:val="18"/>
                <w:szCs w:val="18"/>
              </w:rPr>
            </w:pP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任教30年乡村教师以上教师申请荣誉证书相关政策</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《政府信息公开条例》、《关于做好乡村学校从教30年教师荣誉证书颁发工作的通知》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教师职称评审</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评审政策、评审通知、学校拟推荐人选名单、评审结果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、最终结果</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《政府信息公开条例》、《人力资源社会保障部教育部关于印发深化中小学教师职称制度改革的指导意见的通知》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教师</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73"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特岗教师招聘</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岗位设置管理政策、条件、程序等；特岗教师招聘文件及招聘公告；初审结果；笔试成绩；资格复审结果；参加面试人员、面试成绩；进入考察人员名单；拟聘用人员名单；最终聘用结果</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《政府信息公开条例》、《教育部 财政部 人事部 中央编办 关于实施农村义务教育阶段学校教师特设岗位计划的通知》、《教育部 财政部 人力资源社会保障部 中央编办 关于继续组织实施“农村义务教育阶段学校教师特设岗位计划”的通知》等</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应聘</w:t>
            </w:r>
            <w:r>
              <w:rPr>
                <w:rFonts w:hint="eastAsia" w:ascii="仿宋_GB2312" w:hAnsi="仿宋" w:eastAsia="仿宋_GB2312"/>
                <w:color w:val="000000"/>
                <w:sz w:val="18"/>
                <w:szCs w:val="18"/>
              </w:rPr>
              <w:br w:type="textWrapping"/>
            </w:r>
            <w:r>
              <w:rPr>
                <w:rFonts w:hint="eastAsia" w:ascii="仿宋_GB2312" w:hAnsi="仿宋" w:eastAsia="仿宋_GB2312"/>
                <w:color w:val="000000"/>
                <w:sz w:val="18"/>
                <w:szCs w:val="18"/>
              </w:rPr>
              <w:t>人员</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乡村教师生活补助</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管理制度、实施方案、实施时间、补助范围、发放对象、补助档次标准、发放情况</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《政府信息公开条例》、《教育部 财政部关于落实2013年中央1号文件要求对在连片特困地区工作的乡村教师给予生活补助的通知》、《教育部关于加强乡村教师生活补助经费管理有关工作的通知》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信息形成（变更）3个工作日内；教师申领情况进行常年公示</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普通话培训及测试</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开展普通话培训、测试的通知；测试结果查询</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《政府信息公开条例》、《普通话水平测试管理规定》</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8</w:t>
            </w:r>
          </w:p>
        </w:tc>
        <w:tc>
          <w:tcPr>
            <w:tcW w:w="673" w:type="dxa"/>
            <w:noWrap w:val="0"/>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767"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控辍保学</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“一县一策”控辍保学工作方案；年度工作进展情况（含义务教育学生失学、辍学的总体情况，建档立卡家庭贫困学生总体就学情况）；督导检查结果公告；典型经验和有效做法</w:t>
            </w:r>
          </w:p>
        </w:tc>
        <w:tc>
          <w:tcPr>
            <w:tcW w:w="252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《政府信息公开条例》、《国务院办公厅关于进一步加强控辍保学提高义务教育巩固水平的通知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jc w:val="center"/>
              <w:rPr>
                <w:rFonts w:hint="eastAsia" w:ascii="仿宋_GB2312" w:hAnsi="宋体" w:eastAsia="仿宋_GB2312" w:cs="宋体"/>
                <w:color w:val="000000"/>
                <w:sz w:val="18"/>
                <w:szCs w:val="18"/>
              </w:rPr>
            </w:pP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重要政策执行情况</w:t>
            </w:r>
          </w:p>
        </w:tc>
        <w:tc>
          <w:tcPr>
            <w:tcW w:w="767" w:type="dxa"/>
            <w:vMerge w:val="restart"/>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农村义务教育学生营养改善计划</w:t>
            </w: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有关政策法规、规章、规范性文件；组织机构和职责，举报电话、信箱或电子邮箱</w:t>
            </w:r>
            <w:r>
              <w:rPr>
                <w:rFonts w:hint="eastAsia" w:ascii="仿宋_GB2312" w:hAnsi="宋体" w:eastAsia="仿宋_GB2312"/>
                <w:sz w:val="18"/>
                <w:szCs w:val="18"/>
              </w:rPr>
              <w:br w:type="textWrapping"/>
            </w:r>
            <w:r>
              <w:rPr>
                <w:rFonts w:hint="eastAsia" w:ascii="仿宋_GB2312" w:hAnsi="宋体" w:eastAsia="仿宋_GB2312"/>
                <w:sz w:val="18"/>
                <w:szCs w:val="18"/>
              </w:rPr>
              <w:t>；供餐企业、托餐家庭名单</w:t>
            </w:r>
          </w:p>
        </w:tc>
        <w:tc>
          <w:tcPr>
            <w:tcW w:w="2520"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vMerge w:val="continue"/>
            <w:noWrap w:val="0"/>
            <w:vAlign w:val="center"/>
          </w:tcPr>
          <w:p>
            <w:pPr>
              <w:rPr>
                <w:rFonts w:hint="eastAsia" w:ascii="仿宋_GB2312" w:hAnsi="宋体" w:eastAsia="仿宋_GB2312" w:cs="宋体"/>
                <w:color w:val="000000"/>
                <w:sz w:val="18"/>
                <w:szCs w:val="18"/>
              </w:rPr>
            </w:pPr>
          </w:p>
        </w:tc>
        <w:tc>
          <w:tcPr>
            <w:tcW w:w="2340" w:type="dxa"/>
            <w:noWrap w:val="0"/>
            <w:vAlign w:val="center"/>
          </w:tcPr>
          <w:p>
            <w:pPr>
              <w:rPr>
                <w:rFonts w:hint="eastAsia" w:ascii="仿宋_GB2312" w:hAnsi="宋体" w:eastAsia="仿宋_GB2312" w:cs="宋体"/>
                <w:sz w:val="18"/>
                <w:szCs w:val="18"/>
              </w:rPr>
            </w:pPr>
            <w:r>
              <w:rPr>
                <w:rFonts w:hint="eastAsia" w:ascii="仿宋_GB2312" w:hAnsi="宋体" w:eastAsia="仿宋_GB2312"/>
                <w:sz w:val="18"/>
                <w:szCs w:val="18"/>
              </w:rPr>
              <w:t>学校食堂饭菜价格、带量食谱；学校膳食委员会名单；学校管理人员陪餐情况；食品安全突发事件应急预案</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vMerge w:val="continue"/>
            <w:noWrap w:val="0"/>
            <w:vAlign w:val="center"/>
          </w:tcPr>
          <w:p>
            <w:pPr>
              <w:rPr>
                <w:rFonts w:hint="eastAsia" w:ascii="仿宋_GB2312" w:hAnsi="宋体" w:eastAsia="仿宋_GB2312" w:cs="宋体"/>
                <w:color w:val="000000"/>
                <w:sz w:val="18"/>
                <w:szCs w:val="18"/>
              </w:rPr>
            </w:pP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供餐企业（单位）配套管理制度，食品安全责任人、供餐方签约人；食品安全突发事件应急预案</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8</w:t>
            </w:r>
          </w:p>
        </w:tc>
        <w:tc>
          <w:tcPr>
            <w:tcW w:w="673" w:type="dxa"/>
            <w:vMerge w:val="restart"/>
            <w:noWrap w:val="0"/>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学校体育评价</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工作自评结果（体育课、体育训练、体育比赛、体育教师、体育场地、条件保障等）；学校体育发展年度报告（重点反映体育教学改革、体育教师配备、体育经费投入和体育场地设施、学生体质健康测试等方面的情况）</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《政府信息公开条例》、教育部关于印发《学生体质健康监测评价办法》等三个文件的通知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sz w:val="18"/>
                <w:szCs w:val="18"/>
              </w:rPr>
            </w:pPr>
          </w:p>
        </w:tc>
        <w:tc>
          <w:tcPr>
            <w:tcW w:w="673" w:type="dxa"/>
            <w:vMerge w:val="continue"/>
            <w:noWrap w:val="0"/>
            <w:vAlign w:val="center"/>
          </w:tcPr>
          <w:p>
            <w:pPr>
              <w:rPr>
                <w:rFonts w:hint="eastAsia" w:ascii="仿宋_GB2312" w:hAnsi="宋体" w:eastAsia="仿宋_GB2312" w:cs="宋体"/>
                <w:sz w:val="18"/>
                <w:szCs w:val="18"/>
              </w:rPr>
            </w:pP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学校美育评价</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艺术教育工作自评结果（艺术课程、艺术活动、艺术教师、条件保障、特色发展及学生艺术素质测评等）；学校艺术教育发展年度报告（重点反映艺术课程建设、艺术教师配备、艺术教育管理、艺术教育经费投入和设施设备、课外艺术活动、校园文化艺术环境、重点项目推进以及中小学实施学校艺术教育工作自评制度等方面的情况）</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《政府信息公开条例》、教育部关于印发《中小学生艺术素质测评办法》等三个文件的通知</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540" w:type="dxa"/>
            <w:vMerge w:val="restart"/>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9</w:t>
            </w:r>
          </w:p>
        </w:tc>
        <w:tc>
          <w:tcPr>
            <w:tcW w:w="673" w:type="dxa"/>
            <w:vMerge w:val="restart"/>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xml:space="preserve">    教育督导</w:t>
            </w:r>
          </w:p>
        </w:tc>
        <w:tc>
          <w:tcPr>
            <w:tcW w:w="767"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机构队伍</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督导部门组成、督学名单、</w:t>
            </w:r>
          </w:p>
        </w:tc>
        <w:tc>
          <w:tcPr>
            <w:tcW w:w="2520" w:type="dxa"/>
            <w:vMerge w:val="restart"/>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《教育督导条例》、《县域义务教育均衡发展督导评估暂行办法》、《县域义务教育优质均衡发展督导评估办法》</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学校督导评估</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年度督导工作计划内容、责任区划分和责任督学名单、责任督学日常督导事项，学校督导评估的办法、指标体系、督导评估报告</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rPr>
                <w:rFonts w:hint="eastAsia" w:ascii="仿宋_GB2312" w:hAnsi="宋体" w:eastAsia="仿宋_GB2312" w:cs="宋体"/>
                <w:color w:val="000000"/>
                <w:sz w:val="18"/>
                <w:szCs w:val="18"/>
              </w:rPr>
            </w:pPr>
          </w:p>
        </w:tc>
        <w:tc>
          <w:tcPr>
            <w:tcW w:w="673" w:type="dxa"/>
            <w:vMerge w:val="continue"/>
            <w:noWrap w:val="0"/>
            <w:vAlign w:val="center"/>
          </w:tcPr>
          <w:p>
            <w:pPr>
              <w:rPr>
                <w:rFonts w:hint="eastAsia" w:ascii="仿宋_GB2312" w:hAnsi="宋体" w:eastAsia="仿宋_GB2312" w:cs="宋体"/>
                <w:color w:val="000000"/>
                <w:sz w:val="18"/>
                <w:szCs w:val="18"/>
              </w:rPr>
            </w:pP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义务教育均衡发展督导评估</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义务教育均衡发展有关政策文件、职责权限、管理流程、监督方式、年度工作计划等，义务教育均衡发展状况自评方案及结果，省级教育督导机构对县进行督导评估的工作安排、评估结果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国务院教育督导委员会对义务教育发展均衡县进行认定的结果、报告</w:t>
            </w:r>
          </w:p>
        </w:tc>
        <w:tc>
          <w:tcPr>
            <w:tcW w:w="2520" w:type="dxa"/>
            <w:vMerge w:val="continue"/>
            <w:noWrap w:val="0"/>
            <w:vAlign w:val="center"/>
          </w:tcPr>
          <w:p>
            <w:pPr>
              <w:rPr>
                <w:rFonts w:hint="eastAsia" w:ascii="仿宋_GB2312" w:hAnsi="宋体" w:eastAsia="仿宋_GB2312" w:cs="宋体"/>
                <w:color w:val="000000"/>
                <w:sz w:val="18"/>
                <w:szCs w:val="18"/>
              </w:rPr>
            </w:pP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10</w:t>
            </w:r>
          </w:p>
        </w:tc>
        <w:tc>
          <w:tcPr>
            <w:tcW w:w="673" w:type="dxa"/>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校园安全</w:t>
            </w:r>
          </w:p>
        </w:tc>
        <w:tc>
          <w:tcPr>
            <w:tcW w:w="767" w:type="dxa"/>
            <w:noWrap w:val="0"/>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w:t>
            </w:r>
          </w:p>
        </w:tc>
        <w:tc>
          <w:tcPr>
            <w:tcW w:w="234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校园安全管理法律法规、配套管理制度，学生住宿、用餐、组织活动等安全管理情况，校园安全突发事件应急预案、预警信息、应对情况、调查处理情况，校车使用许可申请政策规定及申请流程</w:t>
            </w:r>
          </w:p>
        </w:tc>
        <w:tc>
          <w:tcPr>
            <w:tcW w:w="2520" w:type="dxa"/>
            <w:noWrap w:val="0"/>
            <w:vAlign w:val="center"/>
          </w:tcPr>
          <w:p>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《政府信息公开条例》、《国务院办公厅关于加强中小学幼儿园安全风险防控体系建设的意见》、《教育部关于推进中小学信息公开工作的意见》、《校车安全管理条例》</w:t>
            </w:r>
          </w:p>
        </w:tc>
        <w:tc>
          <w:tcPr>
            <w:tcW w:w="162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70"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区</w:t>
            </w:r>
            <w:r>
              <w:rPr>
                <w:rFonts w:hint="eastAsia" w:ascii="仿宋_GB2312" w:hAnsi="仿宋" w:eastAsia="仿宋_GB2312"/>
                <w:color w:val="000000"/>
                <w:sz w:val="18"/>
                <w:szCs w:val="18"/>
              </w:rPr>
              <w:t>教育</w:t>
            </w:r>
            <w:r>
              <w:rPr>
                <w:rFonts w:hint="eastAsia" w:ascii="仿宋_GB2312" w:hAnsi="仿宋" w:eastAsia="仿宋_GB2312"/>
                <w:color w:val="000000"/>
                <w:sz w:val="18"/>
                <w:szCs w:val="18"/>
                <w:lang w:val="en-US" w:eastAsia="zh-CN"/>
              </w:rPr>
              <w:t>主管</w:t>
            </w:r>
            <w:r>
              <w:rPr>
                <w:rFonts w:hint="eastAsia" w:ascii="仿宋_GB2312" w:hAnsi="仿宋" w:eastAsia="仿宋_GB2312"/>
                <w:color w:val="000000"/>
                <w:sz w:val="18"/>
                <w:szCs w:val="18"/>
              </w:rPr>
              <w:t>部门</w:t>
            </w:r>
          </w:p>
        </w:tc>
        <w:tc>
          <w:tcPr>
            <w:tcW w:w="1490" w:type="dxa"/>
            <w:noWrap w:val="0"/>
            <w:vAlign w:val="center"/>
          </w:tcPr>
          <w:p>
            <w:pPr>
              <w:rPr>
                <w:rFonts w:hint="eastAsia" w:ascii="仿宋_GB2312" w:hAnsi="仿宋" w:eastAsia="仿宋_GB2312" w:cs="宋体"/>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eastAsia="zh-CN"/>
              </w:rPr>
              <w:t>管委会</w:t>
            </w:r>
            <w:r>
              <w:rPr>
                <w:rFonts w:hint="eastAsia" w:ascii="仿宋_GB2312" w:hAnsi="仿宋" w:eastAsia="仿宋_GB2312"/>
                <w:color w:val="000000"/>
                <w:sz w:val="18"/>
                <w:szCs w:val="18"/>
              </w:rPr>
              <w:t xml:space="preserve">网站  </w:t>
            </w:r>
          </w:p>
        </w:tc>
        <w:tc>
          <w:tcPr>
            <w:tcW w:w="54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8" w:type="dxa"/>
            <w:noWrap w:val="0"/>
            <w:vAlign w:val="center"/>
          </w:tcPr>
          <w:p>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62"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r>
        <w:rPr>
          <w:sz w:val="28"/>
          <w:szCs w:val="28"/>
        </w:rP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B645B"/>
    <w:rsid w:val="5E3B6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2020-09-09T06:20:00Z</dcterms:created>
  <dc:creator>Administrator</dc:creator>
  <cp:lastModifiedBy>Administrator</cp:lastModifiedBy>
  <dcterms:modified xsi:type="dcterms:W3CDTF">2020-09-09T06:25:26Z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